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78" w:rsidRPr="00FA4664" w:rsidRDefault="00D50678" w:rsidP="00FA4664">
      <w:pPr>
        <w:jc w:val="center"/>
        <w:rPr>
          <w:b/>
          <w:sz w:val="28"/>
          <w:szCs w:val="28"/>
          <w:u w:val="single"/>
        </w:rPr>
      </w:pPr>
      <w:r w:rsidRPr="00FA4664">
        <w:rPr>
          <w:b/>
          <w:sz w:val="28"/>
          <w:szCs w:val="28"/>
        </w:rPr>
        <w:t xml:space="preserve">Elenco Circolari </w:t>
      </w:r>
      <w:r w:rsidR="00914D94">
        <w:rPr>
          <w:b/>
          <w:sz w:val="28"/>
          <w:szCs w:val="28"/>
        </w:rPr>
        <w:t>DAIT -</w:t>
      </w:r>
      <w:r w:rsidR="00403BAB">
        <w:rPr>
          <w:b/>
          <w:sz w:val="28"/>
          <w:szCs w:val="28"/>
        </w:rPr>
        <w:t>MINISTERO INTERNO</w:t>
      </w:r>
      <w:r w:rsidRPr="00FA4664">
        <w:rPr>
          <w:b/>
          <w:sz w:val="28"/>
          <w:szCs w:val="28"/>
        </w:rPr>
        <w:t xml:space="preserve"> su PNRR</w:t>
      </w:r>
    </w:p>
    <w:p w:rsidR="00504953" w:rsidRPr="002955EA" w:rsidRDefault="00504953" w:rsidP="002955EA">
      <w:pPr>
        <w:ind w:left="360"/>
        <w:jc w:val="center"/>
        <w:rPr>
          <w:b/>
          <w:sz w:val="28"/>
          <w:szCs w:val="28"/>
        </w:rPr>
      </w:pPr>
      <w:r w:rsidRPr="0050495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</w:p>
    <w:p w:rsidR="00914D94" w:rsidRDefault="00914D94" w:rsidP="00914D94">
      <w:pPr>
        <w:pStyle w:val="Paragrafoelenco"/>
        <w:numPr>
          <w:ilvl w:val="0"/>
          <w:numId w:val="3"/>
        </w:numPr>
        <w:jc w:val="both"/>
      </w:pPr>
      <w:r w:rsidRPr="00403BAB">
        <w:t>Circolare DAIT n.96 del 22 dicembre 2021</w:t>
      </w:r>
      <w:r>
        <w:t>.</w:t>
      </w:r>
      <w:r w:rsidRPr="00403BAB">
        <w:t xml:space="preserve"> FAQ relative all’assegnazione di risorse alle città metropolitane finalizzate a favorire una migliore inclusione sociale riducendo l'emarginazione e le situazioni di degrado sociale, promuovere la rigenerazione urbana attraverso il recupero, la ristrutturazione e la rifunzionalizzazione ecosostenibile delle strutture edilizie e delle aree pubbliche, nonché sostenere progetti legati alle </w:t>
      </w:r>
      <w:proofErr w:type="spellStart"/>
      <w:r w:rsidRPr="00403BAB">
        <w:t>smart</w:t>
      </w:r>
      <w:proofErr w:type="spellEnd"/>
      <w:r w:rsidRPr="00403BAB">
        <w:t xml:space="preserve"> cities, con particolare riferimento ai trasporti ed al consumo energetico.</w:t>
      </w:r>
      <w:r>
        <w:t xml:space="preserve"> </w:t>
      </w:r>
      <w:hyperlink r:id="rId5" w:history="1">
        <w:r w:rsidRPr="00644259">
          <w:rPr>
            <w:rStyle w:val="Collegamentoipertestuale"/>
          </w:rPr>
          <w:t>https://dait.interno.gov.it/documenti/circ-dait-096-finloc-22-12-2021.pdf</w:t>
        </w:r>
      </w:hyperlink>
    </w:p>
    <w:p w:rsidR="00504953" w:rsidRDefault="00403BAB" w:rsidP="00403BAB">
      <w:pPr>
        <w:pStyle w:val="Paragrafoelenco"/>
        <w:numPr>
          <w:ilvl w:val="0"/>
          <w:numId w:val="3"/>
        </w:numPr>
        <w:jc w:val="both"/>
      </w:pPr>
      <w:r w:rsidRPr="00403BAB">
        <w:t>Circolare DAIT n.94 del 6 dicembre 2021</w:t>
      </w:r>
      <w:r>
        <w:t xml:space="preserve">. </w:t>
      </w:r>
      <w:r w:rsidRPr="00403BAB">
        <w:t xml:space="preserve">Piani Integrati art.21 del Decreto Legge 6 novembre 2021 n.152 recanti "Disposizioni urgenti per l'attuazione del Piano Nazionale di Ripresa e Resilienza (PNRR) e per la prevenzione delle infiltrazioni mafiose". </w:t>
      </w:r>
      <w:hyperlink r:id="rId6" w:history="1">
        <w:r w:rsidRPr="00644259">
          <w:rPr>
            <w:rStyle w:val="Collegamentoipertestuale"/>
          </w:rPr>
          <w:t>https://dait.interno.gov.it/documenti/circ-dait-094-finloc-06-12-2021.pdf</w:t>
        </w:r>
      </w:hyperlink>
    </w:p>
    <w:p w:rsidR="00504953" w:rsidRDefault="00504953" w:rsidP="002955EA">
      <w:pPr>
        <w:ind w:left="360"/>
        <w:jc w:val="center"/>
        <w:rPr>
          <w:b/>
          <w:sz w:val="28"/>
          <w:szCs w:val="28"/>
        </w:rPr>
      </w:pPr>
      <w:r w:rsidRPr="00504953">
        <w:rPr>
          <w:b/>
          <w:sz w:val="28"/>
          <w:szCs w:val="28"/>
        </w:rPr>
        <w:t>2022</w:t>
      </w:r>
    </w:p>
    <w:p w:rsidR="00403BAB" w:rsidRDefault="00B46A3C" w:rsidP="00133D17">
      <w:pPr>
        <w:pStyle w:val="Paragrafoelenco"/>
        <w:numPr>
          <w:ilvl w:val="0"/>
          <w:numId w:val="3"/>
        </w:numPr>
        <w:jc w:val="both"/>
      </w:pPr>
      <w:r w:rsidRPr="00B46A3C">
        <w:t>Circolare DAIT n.119 del 23 novembre 2022</w:t>
      </w:r>
      <w:r>
        <w:t xml:space="preserve">. </w:t>
      </w:r>
      <w:r w:rsidRPr="00B46A3C">
        <w:t>Piano Nazionale di Ripresa e Resilienza (PNRR). Manuali di Istruzioni Operative destinati ai Soggetti Attuatori degli interventi compresi all'interno delle Misure M2C4I.2.2., M5C2I.2.1, M5C21.2.2 del PNRR.</w:t>
      </w:r>
      <w:r>
        <w:t xml:space="preserve"> </w:t>
      </w:r>
      <w:hyperlink r:id="rId7" w:history="1">
        <w:r w:rsidRPr="00644259">
          <w:rPr>
            <w:rStyle w:val="Collegamentoipertestuale"/>
          </w:rPr>
          <w:t>https://dait.interno.gov.it/documenti/circ-dait-119-finloc-23-11-2022.pdf</w:t>
        </w:r>
      </w:hyperlink>
      <w:r>
        <w:t xml:space="preserve"> </w:t>
      </w:r>
    </w:p>
    <w:p w:rsidR="00BE705D" w:rsidRDefault="00BE705D" w:rsidP="00133D17">
      <w:pPr>
        <w:pStyle w:val="Paragrafoelenco"/>
        <w:numPr>
          <w:ilvl w:val="0"/>
          <w:numId w:val="3"/>
        </w:numPr>
        <w:jc w:val="both"/>
      </w:pPr>
      <w:r w:rsidRPr="00BE705D">
        <w:t>Circolare DAIT n.114 del 21 ottobre 2022</w:t>
      </w:r>
      <w:r>
        <w:t xml:space="preserve">. </w:t>
      </w:r>
      <w:r w:rsidRPr="00BE705D">
        <w:t>Protocollo d'intesa tra il Ministero dell'interno - Dipartimento per gli Affari Interni e Territoriali e il Ministero dell'economia e delle finanze - Dipartimento della Ragioneria Generale dello Stato per la costituzione di presidi territoriali con il compito di supportare le Amministrazioni locali titolari di interventi nell'ambito del Piano Nazionale di Ripresa e Resilienza (PNRR).</w:t>
      </w:r>
      <w:r>
        <w:t xml:space="preserve"> </w:t>
      </w:r>
      <w:hyperlink r:id="rId8" w:history="1">
        <w:r w:rsidRPr="00644259">
          <w:rPr>
            <w:rStyle w:val="Collegamentoipertestuale"/>
          </w:rPr>
          <w:t>https://dait.interno.gov.it/documenti/circ-dait-114-finloc-21-10-2022.pdf</w:t>
        </w:r>
      </w:hyperlink>
      <w:r>
        <w:t xml:space="preserve">  - </w:t>
      </w:r>
      <w:hyperlink r:id="rId9" w:history="1">
        <w:r w:rsidRPr="00644259">
          <w:rPr>
            <w:rStyle w:val="Collegamentoipertestuale"/>
          </w:rPr>
          <w:t>https://dait.interno.gov.it/documenti/circ-dait-114-finloc-21-10-2022-all1.pdf</w:t>
        </w:r>
      </w:hyperlink>
      <w:r>
        <w:t xml:space="preserve"> </w:t>
      </w:r>
    </w:p>
    <w:p w:rsidR="00BE705D" w:rsidRDefault="00BE705D" w:rsidP="009402BF">
      <w:pPr>
        <w:pStyle w:val="Paragrafoelenco"/>
        <w:numPr>
          <w:ilvl w:val="0"/>
          <w:numId w:val="3"/>
        </w:numPr>
        <w:jc w:val="both"/>
      </w:pPr>
      <w:r w:rsidRPr="00BE705D">
        <w:t>Circolare DAIT n.111 del 29 settembre 2022</w:t>
      </w:r>
      <w:r>
        <w:t xml:space="preserve">. Piano Nazionale di Ripresa e Resilienza (PNRR) - Missione M2C4 Intervento 2.2. "Interventi per la resilienza, la valorizzazione del territorio e l'efficienza energetica dei comuni". Prime indicazioni per il monitoraggio, rendicontazione e controllo dei dati. </w:t>
      </w:r>
      <w:hyperlink r:id="rId10" w:history="1">
        <w:r w:rsidRPr="00644259">
          <w:rPr>
            <w:rStyle w:val="Collegamentoipertestuale"/>
          </w:rPr>
          <w:t>https://dait.interno.gov.it/documenti/circ-dait-111-finloc-29-09-2022.pdf</w:t>
        </w:r>
      </w:hyperlink>
      <w:r>
        <w:t xml:space="preserve"> </w:t>
      </w:r>
    </w:p>
    <w:p w:rsidR="00BE705D" w:rsidRDefault="00BE705D" w:rsidP="009402BF">
      <w:pPr>
        <w:pStyle w:val="Paragrafoelenco"/>
        <w:numPr>
          <w:ilvl w:val="0"/>
          <w:numId w:val="3"/>
        </w:numPr>
        <w:jc w:val="both"/>
      </w:pPr>
      <w:r w:rsidRPr="00BE705D">
        <w:t>Circolare DAIT n.106 del 23 settembre 2022</w:t>
      </w:r>
      <w:r>
        <w:t xml:space="preserve">. </w:t>
      </w:r>
      <w:r w:rsidRPr="00BE705D">
        <w:t xml:space="preserve">Modalità di accesso al Fondo per l'avvio di opere indifferibili di cui all'articolo 26, commi 7 e 7-bis, del decreto-legge 17 maggio 2022, n.50. </w:t>
      </w:r>
      <w:hyperlink r:id="rId11" w:history="1">
        <w:r w:rsidRPr="00644259">
          <w:rPr>
            <w:rStyle w:val="Collegamentoipertestuale"/>
          </w:rPr>
          <w:t>https://dait.interno.gov.it/documenti/circ-dait-106-finloc-23-09-2022.pdf</w:t>
        </w:r>
      </w:hyperlink>
      <w:r>
        <w:t xml:space="preserve"> </w:t>
      </w:r>
    </w:p>
    <w:p w:rsidR="00BE705D" w:rsidRDefault="00BE705D" w:rsidP="009402BF">
      <w:pPr>
        <w:pStyle w:val="Paragrafoelenco"/>
        <w:numPr>
          <w:ilvl w:val="0"/>
          <w:numId w:val="3"/>
        </w:numPr>
        <w:jc w:val="both"/>
      </w:pPr>
      <w:r w:rsidRPr="00BE705D">
        <w:t>Circolare DAIT n.84 del 4 agosto 2022</w:t>
      </w:r>
      <w:r>
        <w:t xml:space="preserve">. </w:t>
      </w:r>
      <w:r w:rsidRPr="00BE705D">
        <w:t xml:space="preserve">Dal 20 giugno 2022 è online </w:t>
      </w:r>
      <w:proofErr w:type="spellStart"/>
      <w:r w:rsidRPr="00BE705D">
        <w:t>Capacity</w:t>
      </w:r>
      <w:proofErr w:type="spellEnd"/>
      <w:r w:rsidRPr="00BE705D">
        <w:t xml:space="preserve"> </w:t>
      </w:r>
      <w:proofErr w:type="spellStart"/>
      <w:r w:rsidRPr="00BE705D">
        <w:t>ltaly</w:t>
      </w:r>
      <w:proofErr w:type="spellEnd"/>
      <w:r w:rsidRPr="00BE705D">
        <w:t xml:space="preserve">, il nuovo portale di assistenza tecnica per sostenere le amministrazioni pubbliche, è in particolare gli enti locali, in prima linea nell'attuazione del Piano Nazionale di Ripresa e Resilienza. </w:t>
      </w:r>
      <w:hyperlink r:id="rId12" w:history="1">
        <w:r w:rsidRPr="00644259">
          <w:rPr>
            <w:rStyle w:val="Collegamentoipertestuale"/>
          </w:rPr>
          <w:t>https://dait.interno.gov.it/documenti/circ-dait-084-finloc-04-08-2022.pdf</w:t>
        </w:r>
      </w:hyperlink>
      <w:r>
        <w:t xml:space="preserve"> </w:t>
      </w:r>
    </w:p>
    <w:p w:rsidR="00BE705D" w:rsidRDefault="00BE705D" w:rsidP="00990AC4">
      <w:pPr>
        <w:pStyle w:val="Paragrafoelenco"/>
        <w:numPr>
          <w:ilvl w:val="0"/>
          <w:numId w:val="3"/>
        </w:numPr>
        <w:jc w:val="both"/>
      </w:pPr>
      <w:r w:rsidRPr="00BE705D">
        <w:t>Circolare DAIT n.76 del 1° luglio 2022</w:t>
      </w:r>
      <w:r>
        <w:t xml:space="preserve">. </w:t>
      </w:r>
      <w:r w:rsidRPr="00BE705D">
        <w:t xml:space="preserve">Art.33 del decreto legge 30 aprile 2022 n.36 convertito con modificazioni dalla legge di conversione 29 giugno 2022, n.79 recante: "Ulteriori misure urgenti per l'attuazione del Piano nazionale di ripresa e resilienza (PNRR)." </w:t>
      </w:r>
      <w:hyperlink r:id="rId13" w:history="1">
        <w:r w:rsidRPr="00644259">
          <w:rPr>
            <w:rStyle w:val="Collegamentoipertestuale"/>
          </w:rPr>
          <w:t>https://dait.interno.gov.it/finanza-locale/circolari/circolare-dait-n76-del-1deg-luglio-2022</w:t>
        </w:r>
      </w:hyperlink>
      <w:r>
        <w:t xml:space="preserve"> </w:t>
      </w:r>
    </w:p>
    <w:p w:rsidR="00BE705D" w:rsidRDefault="00BE705D" w:rsidP="00793809">
      <w:pPr>
        <w:pStyle w:val="Paragrafoelenco"/>
        <w:numPr>
          <w:ilvl w:val="0"/>
          <w:numId w:val="3"/>
        </w:numPr>
        <w:jc w:val="both"/>
      </w:pPr>
      <w:r w:rsidRPr="00BE705D">
        <w:t>Circolare DAIT n.55 del 20 maggio 2022</w:t>
      </w:r>
      <w:r>
        <w:t xml:space="preserve">. Contributi ai Comuni per l’efficientamento energetico e sviluppo territoriale sostenibile ex articolo 1 comma 29 e seguenti della Legge 160/2019. PNRR monitoraggio. [PNRR - M2C4 - Investimento 2.2] </w:t>
      </w:r>
      <w:hyperlink r:id="rId14" w:history="1">
        <w:r w:rsidRPr="00644259">
          <w:rPr>
            <w:rStyle w:val="Collegamentoipertestuale"/>
          </w:rPr>
          <w:t>https://dait.interno.gov.it/documenti/circ-dait-055-finloc-20-05-2022.pdf</w:t>
        </w:r>
      </w:hyperlink>
      <w:r>
        <w:t xml:space="preserve"> </w:t>
      </w:r>
    </w:p>
    <w:p w:rsidR="00B46A3C" w:rsidRDefault="00B46A3C" w:rsidP="00990AC4">
      <w:pPr>
        <w:pStyle w:val="Paragrafoelenco"/>
        <w:numPr>
          <w:ilvl w:val="0"/>
          <w:numId w:val="3"/>
        </w:numPr>
        <w:jc w:val="both"/>
      </w:pPr>
      <w:r w:rsidRPr="00403BAB">
        <w:t>Circolare DAIT n.16 del 16 febbraio 2022</w:t>
      </w:r>
      <w:r>
        <w:t>.</w:t>
      </w:r>
      <w:r w:rsidRPr="00403BAB">
        <w:t xml:space="preserve"> </w:t>
      </w:r>
      <w:r>
        <w:t xml:space="preserve">Piano Nazionale di Ripresa e Resilienza (PNRR) - Indicazioni sul rispetto degli obblighi euro unitari e di ogni altra disposizione impartita in attuazione del PNRR per la gestione, monitoraggio, controllo e rendicontazione delle misure. Giornata formativa per </w:t>
      </w:r>
      <w:r>
        <w:lastRenderedPageBreak/>
        <w:t xml:space="preserve">mercoledì 23 febbraio 2022. </w:t>
      </w:r>
      <w:hyperlink r:id="rId15" w:history="1">
        <w:r w:rsidRPr="00644259">
          <w:rPr>
            <w:rStyle w:val="Collegamentoipertestuale"/>
          </w:rPr>
          <w:t>https://dait.interno.gov.it/documenti/circ-dait-016-finloc-16-02-2022_0.pdf</w:t>
        </w:r>
      </w:hyperlink>
    </w:p>
    <w:p w:rsidR="00403BAB" w:rsidRDefault="00BE705D" w:rsidP="00403BAB">
      <w:pPr>
        <w:pStyle w:val="Paragrafoelenco"/>
        <w:numPr>
          <w:ilvl w:val="0"/>
          <w:numId w:val="3"/>
        </w:numPr>
      </w:pPr>
      <w:r w:rsidRPr="00BE705D">
        <w:t>Circolare DAIT n.9 del 24 gennaio 2022</w:t>
      </w:r>
      <w:r>
        <w:t xml:space="preserve">. </w:t>
      </w:r>
      <w:r w:rsidRPr="00BE705D">
        <w:t>Piano Nazionale di Ripresa e Resilienza (PNRR) - Indicazioni sul rispetto degli obblighi euro unitari e di ogni altra disposizione impartita in attuazione del PNRR per la gestione, monitoraggio, controllo e rendicontazione delle misure.</w:t>
      </w:r>
      <w:r>
        <w:t xml:space="preserve"> </w:t>
      </w:r>
      <w:hyperlink r:id="rId16" w:history="1">
        <w:r w:rsidR="00914D94" w:rsidRPr="00644259">
          <w:rPr>
            <w:rStyle w:val="Collegamentoipertestuale"/>
          </w:rPr>
          <w:t>https://dait.interno.gov.it/documenti/circ-dait-009-finloc-24-01-2022_0.pdf</w:t>
        </w:r>
      </w:hyperlink>
      <w:r w:rsidR="00914D94">
        <w:t xml:space="preserve"> </w:t>
      </w:r>
    </w:p>
    <w:p w:rsidR="00914D94" w:rsidRDefault="00914D94" w:rsidP="00403BAB">
      <w:pPr>
        <w:pStyle w:val="Paragrafoelenco"/>
        <w:numPr>
          <w:ilvl w:val="0"/>
          <w:numId w:val="3"/>
        </w:numPr>
      </w:pPr>
      <w:r w:rsidRPr="00914D94">
        <w:t>Circolare DAIT n.8 del 24 gennaio 2022</w:t>
      </w:r>
      <w:r>
        <w:t xml:space="preserve">. </w:t>
      </w:r>
      <w:r w:rsidRPr="00914D94">
        <w:t xml:space="preserve">Piano Nazionale di Ripresa e Resilienza. Circolare Ministero dell'economia e delle finanze n.4 del18 gennaio 2022. </w:t>
      </w:r>
      <w:hyperlink r:id="rId17" w:history="1">
        <w:r w:rsidRPr="00644259">
          <w:rPr>
            <w:rStyle w:val="Collegamentoipertestuale"/>
          </w:rPr>
          <w:t>https://dait.interno.gov.it/documenti/circ-dait-008-finloc-24-01-2022.pdf</w:t>
        </w:r>
      </w:hyperlink>
      <w:r>
        <w:t xml:space="preserve"> </w:t>
      </w:r>
    </w:p>
    <w:p w:rsidR="00914D94" w:rsidRPr="00BE705D" w:rsidRDefault="00914D94" w:rsidP="00403BAB">
      <w:pPr>
        <w:pStyle w:val="Paragrafoelenco"/>
        <w:numPr>
          <w:ilvl w:val="0"/>
          <w:numId w:val="3"/>
        </w:numPr>
      </w:pPr>
    </w:p>
    <w:p w:rsidR="00FA4664" w:rsidRDefault="00FA4664" w:rsidP="00FA4664">
      <w:pPr>
        <w:pStyle w:val="Paragrafoelenco"/>
        <w:ind w:left="4260" w:firstLine="696"/>
        <w:rPr>
          <w:b/>
          <w:sz w:val="28"/>
          <w:szCs w:val="28"/>
        </w:rPr>
      </w:pPr>
      <w:r w:rsidRPr="00FA466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</w:p>
    <w:p w:rsidR="0029610F" w:rsidRDefault="0029610F" w:rsidP="00FA4664">
      <w:pPr>
        <w:pStyle w:val="Paragrafoelenco"/>
        <w:ind w:left="4260" w:firstLine="696"/>
        <w:rPr>
          <w:b/>
          <w:sz w:val="28"/>
          <w:szCs w:val="28"/>
        </w:rPr>
      </w:pPr>
    </w:p>
    <w:p w:rsidR="0029610F" w:rsidRDefault="0029610F" w:rsidP="0029610F">
      <w:pPr>
        <w:pStyle w:val="Paragrafoelenco"/>
        <w:numPr>
          <w:ilvl w:val="0"/>
          <w:numId w:val="3"/>
        </w:numPr>
        <w:jc w:val="both"/>
      </w:pPr>
      <w:r w:rsidRPr="0029610F">
        <w:t>Circolare DAIT n.57 del 24 aprile 2023</w:t>
      </w:r>
      <w:r>
        <w:t xml:space="preserve">. </w:t>
      </w:r>
      <w:r w:rsidRPr="0029610F">
        <w:t xml:space="preserve">PNRR. Rilevazione mancata alimentazione dati di </w:t>
      </w:r>
      <w:proofErr w:type="spellStart"/>
      <w:r w:rsidRPr="0029610F">
        <w:t>monotoraggio</w:t>
      </w:r>
      <w:proofErr w:type="spellEnd"/>
      <w:r w:rsidRPr="0029610F">
        <w:t xml:space="preserve"> e rendicontazione all'interno del sistema informativo </w:t>
      </w:r>
      <w:proofErr w:type="spellStart"/>
      <w:r w:rsidRPr="0029610F">
        <w:t>ReGis</w:t>
      </w:r>
      <w:proofErr w:type="spellEnd"/>
      <w:r w:rsidRPr="0029610F">
        <w:t xml:space="preserve">. Erogazione acconto. Sardegna. Misura M2C41.2.2 art. 1 comma 29 e </w:t>
      </w:r>
      <w:proofErr w:type="spellStart"/>
      <w:r w:rsidRPr="0029610F">
        <w:t>ss</w:t>
      </w:r>
      <w:proofErr w:type="spellEnd"/>
      <w:r w:rsidRPr="0029610F">
        <w:t xml:space="preserve"> L. n. 160/2019.</w:t>
      </w:r>
      <w:r>
        <w:t xml:space="preserve"> </w:t>
      </w:r>
      <w:hyperlink r:id="rId18" w:history="1">
        <w:r w:rsidRPr="00CC7DF8">
          <w:rPr>
            <w:rStyle w:val="Collegamentoipertestuale"/>
          </w:rPr>
          <w:t>https://dait.interno.gov.it/finanza-locale/circolari/circolare-dait-n57-del-24-aprile-2023</w:t>
        </w:r>
      </w:hyperlink>
    </w:p>
    <w:p w:rsidR="008D647C" w:rsidRDefault="00403BAB" w:rsidP="0029610F">
      <w:pPr>
        <w:pStyle w:val="Paragrafoelenco"/>
        <w:numPr>
          <w:ilvl w:val="0"/>
          <w:numId w:val="3"/>
        </w:numPr>
        <w:jc w:val="both"/>
      </w:pPr>
      <w:bookmarkStart w:id="0" w:name="_GoBack"/>
      <w:bookmarkEnd w:id="0"/>
      <w:r w:rsidRPr="00403BAB">
        <w:t>Circolare DAIT n.46 del 12 aprile 2023</w:t>
      </w:r>
      <w:r w:rsidR="009D45C8">
        <w:t xml:space="preserve">. </w:t>
      </w:r>
      <w:r w:rsidR="009D45C8" w:rsidRPr="009D45C8">
        <w:t xml:space="preserve">Piano Nazionale di Ripresa e Resilienza (PNRR) - Rilevazione mancata alimentazione dati di monitoraggio e rendicontazione all'interno del sistema informativo </w:t>
      </w:r>
      <w:proofErr w:type="spellStart"/>
      <w:r w:rsidR="009D45C8" w:rsidRPr="009D45C8">
        <w:t>ReGiS</w:t>
      </w:r>
      <w:proofErr w:type="spellEnd"/>
      <w:r w:rsidR="009D45C8" w:rsidRPr="009D45C8">
        <w:t>. Erogazione acconto Misura M2C4L2.2, articolo 1, comma 29 e ss. L. n.160/2019.</w:t>
      </w:r>
      <w:r w:rsidR="009D45C8">
        <w:t xml:space="preserve"> Marche </w:t>
      </w:r>
      <w:hyperlink r:id="rId19" w:history="1">
        <w:r w:rsidR="009D45C8" w:rsidRPr="00644259">
          <w:rPr>
            <w:rStyle w:val="Collegamentoipertestuale"/>
          </w:rPr>
          <w:t>https://dait.interno.gov.it/documenti/circ-dait-046-finloc-12-04-2023.pdf</w:t>
        </w:r>
      </w:hyperlink>
    </w:p>
    <w:p w:rsidR="009D45C8" w:rsidRDefault="009D45C8" w:rsidP="009173C1">
      <w:pPr>
        <w:pStyle w:val="Paragrafoelenco"/>
        <w:numPr>
          <w:ilvl w:val="0"/>
          <w:numId w:val="3"/>
        </w:numPr>
        <w:jc w:val="both"/>
      </w:pPr>
      <w:r w:rsidRPr="009D45C8">
        <w:t>Circolare DAIT n.43 del 4 aprile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Friuli-Venezia Giulia. </w:t>
      </w:r>
      <w:hyperlink r:id="rId20" w:history="1">
        <w:r w:rsidRPr="00644259">
          <w:rPr>
            <w:rStyle w:val="Collegamentoipertestuale"/>
          </w:rPr>
          <w:t>https://dait.interno.gov.it/documenti/circ-dait-043-finloc-04-04-2023.pdf</w:t>
        </w:r>
      </w:hyperlink>
    </w:p>
    <w:p w:rsidR="009D45C8" w:rsidRDefault="009D45C8" w:rsidP="001C5E64">
      <w:pPr>
        <w:pStyle w:val="Paragrafoelenco"/>
        <w:numPr>
          <w:ilvl w:val="0"/>
          <w:numId w:val="3"/>
        </w:numPr>
        <w:jc w:val="both"/>
      </w:pPr>
      <w:r w:rsidRPr="009D45C8">
        <w:t>Circolare DAIT n.42 del 4 aprile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Liguria. </w:t>
      </w:r>
      <w:hyperlink r:id="rId21" w:history="1">
        <w:r w:rsidRPr="00644259">
          <w:rPr>
            <w:rStyle w:val="Collegamentoipertestuale"/>
          </w:rPr>
          <w:t>https://dait.interno.gov.it/documenti/circ-dait-042-finloc-04-04-2023.pdf</w:t>
        </w:r>
      </w:hyperlink>
    </w:p>
    <w:p w:rsidR="009D45C8" w:rsidRDefault="009D45C8" w:rsidP="00E12939">
      <w:pPr>
        <w:pStyle w:val="Paragrafoelenco"/>
        <w:numPr>
          <w:ilvl w:val="0"/>
          <w:numId w:val="3"/>
        </w:numPr>
        <w:jc w:val="both"/>
      </w:pPr>
      <w:r w:rsidRPr="009D45C8">
        <w:t>Circolare DAIT n.41 del 4 aprile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Umbria. </w:t>
      </w:r>
      <w:hyperlink r:id="rId22" w:history="1">
        <w:r w:rsidRPr="00644259">
          <w:rPr>
            <w:rStyle w:val="Collegamentoipertestuale"/>
          </w:rPr>
          <w:t>https://dait.interno.gov.it/documenti/circ-dait-041-finloc-04-04-2023.pdf</w:t>
        </w:r>
      </w:hyperlink>
    </w:p>
    <w:p w:rsidR="009D45C8" w:rsidRDefault="009D45C8" w:rsidP="009D45C8">
      <w:pPr>
        <w:pStyle w:val="Paragrafoelenco"/>
        <w:numPr>
          <w:ilvl w:val="0"/>
          <w:numId w:val="3"/>
        </w:numPr>
        <w:jc w:val="both"/>
      </w:pPr>
      <w:r w:rsidRPr="009D45C8">
        <w:t>Circolare DAIT n.36 del 24 marzo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Valle d'Aosta. </w:t>
      </w:r>
      <w:hyperlink r:id="rId23" w:history="1">
        <w:r w:rsidRPr="00644259">
          <w:rPr>
            <w:rStyle w:val="Collegamentoipertestuale"/>
          </w:rPr>
          <w:t>https://dait.interno.gov.it/documenti/circ-dait-036-finloc-24-03-2023.pdf</w:t>
        </w:r>
      </w:hyperlink>
    </w:p>
    <w:p w:rsidR="009D45C8" w:rsidRDefault="009D45C8" w:rsidP="007A4701">
      <w:pPr>
        <w:pStyle w:val="Paragrafoelenco"/>
        <w:numPr>
          <w:ilvl w:val="0"/>
          <w:numId w:val="3"/>
        </w:numPr>
        <w:jc w:val="both"/>
      </w:pPr>
      <w:r w:rsidRPr="009D45C8">
        <w:t>Circolare DAIT n.35 del 24 marzo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Toscana. </w:t>
      </w:r>
      <w:hyperlink r:id="rId24" w:history="1">
        <w:r w:rsidRPr="00644259">
          <w:rPr>
            <w:rStyle w:val="Collegamentoipertestuale"/>
          </w:rPr>
          <w:t>https://dait.interno.gov.it/documenti/circ-dait-035-finloc-24-03-2023.pdf</w:t>
        </w:r>
      </w:hyperlink>
    </w:p>
    <w:p w:rsidR="009D45C8" w:rsidRDefault="009D45C8" w:rsidP="001563B2">
      <w:pPr>
        <w:pStyle w:val="Paragrafoelenco"/>
        <w:numPr>
          <w:ilvl w:val="0"/>
          <w:numId w:val="3"/>
        </w:numPr>
        <w:jc w:val="both"/>
      </w:pPr>
      <w:r w:rsidRPr="009D45C8">
        <w:t>Circolare DAIT n.32 del 22 marzo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Piemonte. </w:t>
      </w:r>
      <w:hyperlink r:id="rId25" w:history="1">
        <w:r w:rsidRPr="00644259">
          <w:rPr>
            <w:rStyle w:val="Collegamentoipertestuale"/>
          </w:rPr>
          <w:t>https://dait.interno.gov.it/documenti/circ-dait-032-servelet-22-03-2023.pdf</w:t>
        </w:r>
      </w:hyperlink>
    </w:p>
    <w:p w:rsidR="008D647C" w:rsidRDefault="009D45C8" w:rsidP="009D45C8">
      <w:pPr>
        <w:pStyle w:val="Paragrafoelenco"/>
        <w:numPr>
          <w:ilvl w:val="0"/>
          <w:numId w:val="3"/>
        </w:numPr>
        <w:jc w:val="both"/>
      </w:pPr>
      <w:r w:rsidRPr="009D45C8">
        <w:t>Circolare DAIT n.31 del 17 marzo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Emilia-Romagna. </w:t>
      </w:r>
      <w:hyperlink r:id="rId26" w:history="1">
        <w:r w:rsidRPr="00644259">
          <w:rPr>
            <w:rStyle w:val="Collegamentoipertestuale"/>
          </w:rPr>
          <w:t>https://dait.interno.gov.it/documenti/circ-dait-031-finloc-17-03-2023.pdf</w:t>
        </w:r>
      </w:hyperlink>
    </w:p>
    <w:p w:rsidR="009D45C8" w:rsidRDefault="009D45C8" w:rsidP="00FE6B93">
      <w:pPr>
        <w:pStyle w:val="Paragrafoelenco"/>
        <w:numPr>
          <w:ilvl w:val="0"/>
          <w:numId w:val="3"/>
        </w:numPr>
        <w:jc w:val="both"/>
      </w:pPr>
      <w:r w:rsidRPr="009D45C8">
        <w:lastRenderedPageBreak/>
        <w:t>Circolare DAIT n.28 del 16 marzo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Veneto. </w:t>
      </w:r>
      <w:hyperlink r:id="rId27" w:history="1">
        <w:r w:rsidRPr="00644259">
          <w:rPr>
            <w:rStyle w:val="Collegamentoipertestuale"/>
          </w:rPr>
          <w:t>https://dait.interno.gov.it/documenti/circ-dait-028-finloc-16-03-2023.pdf</w:t>
        </w:r>
      </w:hyperlink>
    </w:p>
    <w:p w:rsidR="009D45C8" w:rsidRDefault="00B46A3C" w:rsidP="00D102E0">
      <w:pPr>
        <w:pStyle w:val="Paragrafoelenco"/>
        <w:numPr>
          <w:ilvl w:val="0"/>
          <w:numId w:val="3"/>
        </w:numPr>
        <w:jc w:val="both"/>
      </w:pPr>
      <w:r w:rsidRPr="00B46A3C">
        <w:t>Circolare DAIT n.27 del 14 marzo 2023</w:t>
      </w:r>
      <w:r>
        <w:t xml:space="preserve">. Piano Nazionale di Ripresa e Resilienza (PNRR) - Rilevazione mancata alimentazione dati di monitoraggio e rendicontazione all'interno del sistema informativo </w:t>
      </w:r>
      <w:proofErr w:type="spellStart"/>
      <w:r>
        <w:t>ReGiS</w:t>
      </w:r>
      <w:proofErr w:type="spellEnd"/>
      <w:r>
        <w:t xml:space="preserve">. Erogazione acconto Misura M2C4L2.2, articolo 1, comma 29 e ss. L. n.160/2019. Calabria </w:t>
      </w:r>
      <w:hyperlink r:id="rId28" w:history="1">
        <w:r w:rsidRPr="00644259">
          <w:rPr>
            <w:rStyle w:val="Collegamentoipertestuale"/>
          </w:rPr>
          <w:t>https://dait.interno.gov.it/documenti/circ-dait-027-finloc-14-03-2023-calabria.pdf</w:t>
        </w:r>
      </w:hyperlink>
      <w:r>
        <w:t xml:space="preserve"> e Lombardia.</w:t>
      </w:r>
      <w:r w:rsidRPr="00B46A3C">
        <w:t xml:space="preserve"> </w:t>
      </w:r>
      <w:hyperlink r:id="rId29" w:history="1">
        <w:r w:rsidRPr="00644259">
          <w:rPr>
            <w:rStyle w:val="Collegamentoipertestuale"/>
          </w:rPr>
          <w:t>https://dait.interno.gov.it/documenti/circ-dait-027-finloc-14-03-2023-lombardia.pdf</w:t>
        </w:r>
      </w:hyperlink>
      <w:r>
        <w:t xml:space="preserve"> </w:t>
      </w:r>
    </w:p>
    <w:p w:rsidR="00B46A3C" w:rsidRDefault="00B46A3C" w:rsidP="00D102E0">
      <w:pPr>
        <w:pStyle w:val="Paragrafoelenco"/>
        <w:numPr>
          <w:ilvl w:val="0"/>
          <w:numId w:val="3"/>
        </w:numPr>
        <w:jc w:val="both"/>
      </w:pPr>
      <w:r w:rsidRPr="00B46A3C">
        <w:t>Circolare DAIT n.24 del 2 marzo 2023</w:t>
      </w:r>
      <w:r>
        <w:t xml:space="preserve">. </w:t>
      </w:r>
      <w:r w:rsidRPr="00B46A3C">
        <w:t>Piano Nazionale di Ripresa e Resilienza (PNRR) – Decreto Legge 24 febbraio 2023, n.13: Disapplicazione delle sanzioni previste dal comma 4 dell’articolo 161 del decreto legislativo 18 agosto 2000, n.267 e dal comma 1, lettera c) dell’articolo 5 del decreto legislativo 26 novembre 2010, n.216</w:t>
      </w:r>
      <w:r>
        <w:t xml:space="preserve">. </w:t>
      </w:r>
      <w:hyperlink r:id="rId30" w:history="1">
        <w:r w:rsidRPr="00644259">
          <w:rPr>
            <w:rStyle w:val="Collegamentoipertestuale"/>
          </w:rPr>
          <w:t>https://dait.interno.gov.it/documenti/circ-dait-024-finloc-02-03-2023.pdf</w:t>
        </w:r>
      </w:hyperlink>
    </w:p>
    <w:p w:rsidR="00B46A3C" w:rsidRDefault="00B46A3C" w:rsidP="00D102E0">
      <w:pPr>
        <w:pStyle w:val="Paragrafoelenco"/>
        <w:numPr>
          <w:ilvl w:val="0"/>
          <w:numId w:val="3"/>
        </w:numPr>
        <w:jc w:val="both"/>
      </w:pPr>
      <w:r w:rsidRPr="00B46A3C">
        <w:t>Circolare DAIT n.18 del 16 febbraio 2023</w:t>
      </w:r>
      <w:r>
        <w:t xml:space="preserve">. </w:t>
      </w:r>
      <w:r w:rsidRPr="00B46A3C">
        <w:t xml:space="preserve">Piano Nazionale di Ripresa e Resilienza (PNRR) – </w:t>
      </w:r>
      <w:proofErr w:type="spellStart"/>
      <w:r w:rsidRPr="00B46A3C">
        <w:t>Frequently</w:t>
      </w:r>
      <w:proofErr w:type="spellEnd"/>
      <w:r w:rsidRPr="00B46A3C">
        <w:t xml:space="preserve"> </w:t>
      </w:r>
      <w:proofErr w:type="spellStart"/>
      <w:r w:rsidRPr="00B46A3C">
        <w:t>Asked</w:t>
      </w:r>
      <w:proofErr w:type="spellEnd"/>
      <w:r w:rsidRPr="00B46A3C">
        <w:t xml:space="preserve"> </w:t>
      </w:r>
      <w:proofErr w:type="spellStart"/>
      <w:r w:rsidRPr="00B46A3C">
        <w:t>Questions</w:t>
      </w:r>
      <w:proofErr w:type="spellEnd"/>
      <w:r w:rsidRPr="00B46A3C">
        <w:t xml:space="preserve"> (FAQ) in risposta ai quesiti di interesse specifico e relativi alle Misure M2C4I2.2 del PNRR per le opere di cui all’art.1 comma 29 e ss. della L.160/2019.</w:t>
      </w:r>
      <w:r>
        <w:t xml:space="preserve"> </w:t>
      </w:r>
      <w:hyperlink r:id="rId31" w:history="1">
        <w:r w:rsidRPr="00644259">
          <w:rPr>
            <w:rStyle w:val="Collegamentoipertestuale"/>
          </w:rPr>
          <w:t>https://dait.interno.gov.it/documenti/circ-dait-018-finloc-16-02-2023.pdf</w:t>
        </w:r>
      </w:hyperlink>
    </w:p>
    <w:p w:rsidR="00B46A3C" w:rsidRDefault="00B46A3C" w:rsidP="00D102E0">
      <w:pPr>
        <w:pStyle w:val="Paragrafoelenco"/>
        <w:numPr>
          <w:ilvl w:val="0"/>
          <w:numId w:val="3"/>
        </w:numPr>
        <w:jc w:val="both"/>
      </w:pPr>
      <w:r w:rsidRPr="00B46A3C">
        <w:t>Circolare DAIT n.7 del 26 gennaio 2023</w:t>
      </w:r>
      <w:r>
        <w:t xml:space="preserve">. </w:t>
      </w:r>
      <w:r w:rsidRPr="00B46A3C">
        <w:t xml:space="preserve">Fondo Opere </w:t>
      </w:r>
      <w:proofErr w:type="spellStart"/>
      <w:r w:rsidRPr="00B46A3C">
        <w:t>lndifferibili</w:t>
      </w:r>
      <w:proofErr w:type="spellEnd"/>
      <w:r w:rsidRPr="00B46A3C">
        <w:t xml:space="preserve"> annualità 2022. Sollecito completamento verifiche ex post da parte dei Soggetti Attuatori tramite sistema </w:t>
      </w:r>
      <w:proofErr w:type="spellStart"/>
      <w:r w:rsidRPr="00B46A3C">
        <w:t>ReGiS</w:t>
      </w:r>
      <w:proofErr w:type="spellEnd"/>
      <w:r w:rsidRPr="00B46A3C">
        <w:t xml:space="preserve"> ai fini dell'assegnazione definitiva delle risorse - procedura semplificata.</w:t>
      </w:r>
      <w:r>
        <w:t xml:space="preserve"> </w:t>
      </w:r>
      <w:hyperlink r:id="rId32" w:history="1">
        <w:r w:rsidRPr="00644259">
          <w:rPr>
            <w:rStyle w:val="Collegamentoipertestuale"/>
          </w:rPr>
          <w:t>https://dait.interno.gov.it/documenti/circ-dait-007-finloc-26-01-20233.pdf</w:t>
        </w:r>
      </w:hyperlink>
    </w:p>
    <w:p w:rsidR="00B46A3C" w:rsidRDefault="00B46A3C" w:rsidP="00D102E0">
      <w:pPr>
        <w:pStyle w:val="Paragrafoelenco"/>
        <w:numPr>
          <w:ilvl w:val="0"/>
          <w:numId w:val="3"/>
        </w:numPr>
        <w:jc w:val="both"/>
      </w:pPr>
      <w:r w:rsidRPr="00B46A3C">
        <w:t>Circolare DAIT n.5 del 25 gennaio 2023</w:t>
      </w:r>
      <w:r>
        <w:t xml:space="preserve">. </w:t>
      </w:r>
      <w:r w:rsidRPr="00B46A3C">
        <w:t xml:space="preserve">Piano Nazionale di Ripresa e Resilienza (PNRR) - </w:t>
      </w:r>
      <w:proofErr w:type="spellStart"/>
      <w:r w:rsidRPr="00B46A3C">
        <w:t>Frequently</w:t>
      </w:r>
      <w:proofErr w:type="spellEnd"/>
      <w:r w:rsidRPr="00B46A3C">
        <w:t xml:space="preserve"> </w:t>
      </w:r>
      <w:proofErr w:type="spellStart"/>
      <w:r w:rsidRPr="00B46A3C">
        <w:t>Asked</w:t>
      </w:r>
      <w:proofErr w:type="spellEnd"/>
      <w:r w:rsidRPr="00B46A3C">
        <w:t xml:space="preserve"> </w:t>
      </w:r>
      <w:proofErr w:type="spellStart"/>
      <w:r w:rsidRPr="00B46A3C">
        <w:t>Questions</w:t>
      </w:r>
      <w:proofErr w:type="spellEnd"/>
      <w:r w:rsidRPr="00B46A3C">
        <w:t xml:space="preserve"> (FAQ) in risposta ai quesiti di interesse generale e relativi alle Misure M2C4-2.2, M5C2-2.1 e M5C2-2.2 del PNRR.</w:t>
      </w:r>
      <w:r>
        <w:t xml:space="preserve"> </w:t>
      </w:r>
      <w:hyperlink r:id="rId33" w:history="1">
        <w:r w:rsidRPr="00644259">
          <w:rPr>
            <w:rStyle w:val="Collegamentoipertestuale"/>
          </w:rPr>
          <w:t>https://dait.interno.gov.it/documenti/circolare-dait-005-finloc-25-01-2023.pdf</w:t>
        </w:r>
      </w:hyperlink>
    </w:p>
    <w:p w:rsidR="00B46A3C" w:rsidRDefault="00B46A3C" w:rsidP="00B46A3C">
      <w:pPr>
        <w:pStyle w:val="Paragrafoelenco"/>
        <w:jc w:val="both"/>
      </w:pPr>
    </w:p>
    <w:sectPr w:rsidR="00B46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016"/>
    <w:multiLevelType w:val="hybridMultilevel"/>
    <w:tmpl w:val="30C43492"/>
    <w:lvl w:ilvl="0" w:tplc="4D147B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62F2B"/>
    <w:multiLevelType w:val="hybridMultilevel"/>
    <w:tmpl w:val="CF941F0A"/>
    <w:lvl w:ilvl="0" w:tplc="AC560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476D"/>
    <w:multiLevelType w:val="hybridMultilevel"/>
    <w:tmpl w:val="F7843FC6"/>
    <w:lvl w:ilvl="0" w:tplc="80745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4"/>
    <w:rsid w:val="00035680"/>
    <w:rsid w:val="0006322F"/>
    <w:rsid w:val="00254F1B"/>
    <w:rsid w:val="002955EA"/>
    <w:rsid w:val="0029610F"/>
    <w:rsid w:val="00383441"/>
    <w:rsid w:val="003E4074"/>
    <w:rsid w:val="00403BAB"/>
    <w:rsid w:val="004C15C4"/>
    <w:rsid w:val="00504953"/>
    <w:rsid w:val="0052452F"/>
    <w:rsid w:val="006C4256"/>
    <w:rsid w:val="007E6CD8"/>
    <w:rsid w:val="00816601"/>
    <w:rsid w:val="008D647C"/>
    <w:rsid w:val="008F516B"/>
    <w:rsid w:val="00914D94"/>
    <w:rsid w:val="0096533A"/>
    <w:rsid w:val="009D45C8"/>
    <w:rsid w:val="00A66FA5"/>
    <w:rsid w:val="00B46A3C"/>
    <w:rsid w:val="00BE705D"/>
    <w:rsid w:val="00D50678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C28A"/>
  <w15:chartTrackingRefBased/>
  <w15:docId w15:val="{91548E2D-9235-4070-B991-01119ED6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6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06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it.interno.gov.it/finanza-locale/circolari/circolare-dait-n76-del-1deg-luglio-2022" TargetMode="External"/><Relationship Id="rId18" Type="http://schemas.openxmlformats.org/officeDocument/2006/relationships/hyperlink" Target="https://dait.interno.gov.it/finanza-locale/circolari/circolare-dait-n57-del-24-aprile-2023" TargetMode="External"/><Relationship Id="rId26" Type="http://schemas.openxmlformats.org/officeDocument/2006/relationships/hyperlink" Target="https://dait.interno.gov.it/documenti/circ-dait-031-finloc-17-03-202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it.interno.gov.it/documenti/circ-dait-042-finloc-04-04-2023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ait.interno.gov.it/documenti/circ-dait-119-finloc-23-11-2022.pdf" TargetMode="External"/><Relationship Id="rId12" Type="http://schemas.openxmlformats.org/officeDocument/2006/relationships/hyperlink" Target="https://dait.interno.gov.it/documenti/circ-dait-084-finloc-04-08-2022.pdf" TargetMode="External"/><Relationship Id="rId17" Type="http://schemas.openxmlformats.org/officeDocument/2006/relationships/hyperlink" Target="https://dait.interno.gov.it/documenti/circ-dait-008-finloc-24-01-2022.pdf" TargetMode="External"/><Relationship Id="rId25" Type="http://schemas.openxmlformats.org/officeDocument/2006/relationships/hyperlink" Target="https://dait.interno.gov.it/documenti/circ-dait-032-servelet-22-03-2023.pdf" TargetMode="External"/><Relationship Id="rId33" Type="http://schemas.openxmlformats.org/officeDocument/2006/relationships/hyperlink" Target="https://dait.interno.gov.it/documenti/circolare-dait-005-finloc-25-01-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it.interno.gov.it/documenti/circ-dait-009-finloc-24-01-2022_0.pdf" TargetMode="External"/><Relationship Id="rId20" Type="http://schemas.openxmlformats.org/officeDocument/2006/relationships/hyperlink" Target="https://dait.interno.gov.it/documenti/circ-dait-043-finloc-04-04-2023.pdf" TargetMode="External"/><Relationship Id="rId29" Type="http://schemas.openxmlformats.org/officeDocument/2006/relationships/hyperlink" Target="https://dait.interno.gov.it/documenti/circ-dait-027-finloc-14-03-2023-lombardi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it.interno.gov.it/documenti/circ-dait-094-finloc-06-12-2021.pdf" TargetMode="External"/><Relationship Id="rId11" Type="http://schemas.openxmlformats.org/officeDocument/2006/relationships/hyperlink" Target="https://dait.interno.gov.it/documenti/circ-dait-106-finloc-23-09-2022.pdf" TargetMode="External"/><Relationship Id="rId24" Type="http://schemas.openxmlformats.org/officeDocument/2006/relationships/hyperlink" Target="https://dait.interno.gov.it/documenti/circ-dait-035-finloc-24-03-2023.pdf" TargetMode="External"/><Relationship Id="rId32" Type="http://schemas.openxmlformats.org/officeDocument/2006/relationships/hyperlink" Target="https://dait.interno.gov.it/documenti/circ-dait-007-finloc-26-01-20233.pdf" TargetMode="External"/><Relationship Id="rId5" Type="http://schemas.openxmlformats.org/officeDocument/2006/relationships/hyperlink" Target="https://dait.interno.gov.it/documenti/circ-dait-096-finloc-22-12-2021.pdf" TargetMode="External"/><Relationship Id="rId15" Type="http://schemas.openxmlformats.org/officeDocument/2006/relationships/hyperlink" Target="https://dait.interno.gov.it/documenti/circ-dait-016-finloc-16-02-2022_0.pdf" TargetMode="External"/><Relationship Id="rId23" Type="http://schemas.openxmlformats.org/officeDocument/2006/relationships/hyperlink" Target="https://dait.interno.gov.it/documenti/circ-dait-036-finloc-24-03-2023.pdf" TargetMode="External"/><Relationship Id="rId28" Type="http://schemas.openxmlformats.org/officeDocument/2006/relationships/hyperlink" Target="https://dait.interno.gov.it/documenti/circ-dait-027-finloc-14-03-2023-calabria.pdf" TargetMode="External"/><Relationship Id="rId10" Type="http://schemas.openxmlformats.org/officeDocument/2006/relationships/hyperlink" Target="https://dait.interno.gov.it/documenti/circ-dait-111-finloc-29-09-2022.pdf" TargetMode="External"/><Relationship Id="rId19" Type="http://schemas.openxmlformats.org/officeDocument/2006/relationships/hyperlink" Target="https://dait.interno.gov.it/documenti/circ-dait-046-finloc-12-04-2023.pdf" TargetMode="External"/><Relationship Id="rId31" Type="http://schemas.openxmlformats.org/officeDocument/2006/relationships/hyperlink" Target="https://dait.interno.gov.it/documenti/circ-dait-018-finloc-16-0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t.interno.gov.it/documenti/circ-dait-114-finloc-21-10-2022-all1.pdf" TargetMode="External"/><Relationship Id="rId14" Type="http://schemas.openxmlformats.org/officeDocument/2006/relationships/hyperlink" Target="https://dait.interno.gov.it/documenti/circ-dait-055-finloc-20-05-2022.pdf" TargetMode="External"/><Relationship Id="rId22" Type="http://schemas.openxmlformats.org/officeDocument/2006/relationships/hyperlink" Target="https://dait.interno.gov.it/documenti/circ-dait-041-finloc-04-04-2023.pdf" TargetMode="External"/><Relationship Id="rId27" Type="http://schemas.openxmlformats.org/officeDocument/2006/relationships/hyperlink" Target="https://dait.interno.gov.it/documenti/circ-dait-028-finloc-16-03-2023.pdf" TargetMode="External"/><Relationship Id="rId30" Type="http://schemas.openxmlformats.org/officeDocument/2006/relationships/hyperlink" Target="https://dait.interno.gov.it/documenti/circ-dait-024-finloc-02-03-2023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ait.interno.gov.it/documenti/circ-dait-114-finloc-21-10-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Becchi</dc:creator>
  <cp:keywords/>
  <dc:description/>
  <cp:lastModifiedBy>Barbara  Becchi</cp:lastModifiedBy>
  <cp:revision>4</cp:revision>
  <dcterms:created xsi:type="dcterms:W3CDTF">2023-04-13T12:37:00Z</dcterms:created>
  <dcterms:modified xsi:type="dcterms:W3CDTF">2023-04-25T09:06:00Z</dcterms:modified>
</cp:coreProperties>
</file>